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ato" w:hAnsi="Lato"/>
          <w:b/>
          <w:b/>
          <w:bCs/>
          <w:color w:val="153D63" w:themeColor="text2" w:themeTint="e6"/>
          <w:sz w:val="32"/>
          <w:szCs w:val="32"/>
        </w:rPr>
      </w:pPr>
      <w:r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>
      <w:pPr>
        <w:pStyle w:val="Normal"/>
        <w:jc w:val="center"/>
        <w:rPr>
          <w:rFonts w:ascii="Lato" w:hAnsi="Lato"/>
          <w:b/>
          <w:b/>
          <w:bCs/>
          <w:color w:val="153D63" w:themeColor="text2" w:themeTint="e6"/>
          <w:sz w:val="32"/>
          <w:szCs w:val="32"/>
        </w:rPr>
      </w:pPr>
      <w:r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>
      <w:pPr>
        <w:pStyle w:val="ListParagraph"/>
        <w:numPr>
          <w:ilvl w:val="0"/>
          <w:numId w:val="6"/>
        </w:numPr>
        <w:jc w:val="center"/>
        <w:rPr>
          <w:rFonts w:ascii="Lato" w:hAnsi="Lato"/>
          <w:b/>
          <w:b/>
          <w:bCs/>
          <w:color w:val="153D63" w:themeColor="text2" w:themeTint="e6"/>
          <w:sz w:val="32"/>
          <w:szCs w:val="32"/>
        </w:rPr>
      </w:pPr>
      <w:r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>
      <w:pPr>
        <w:pStyle w:val="Normal"/>
        <w:spacing w:before="120" w:after="0"/>
        <w:jc w:val="center"/>
        <w:rPr>
          <w:rFonts w:ascii="Lato" w:hAnsi="Lato"/>
          <w:b/>
          <w:b/>
          <w:bCs/>
          <w:color w:val="153D63" w:themeColor="text2" w:themeTint="e6"/>
        </w:rPr>
      </w:pPr>
      <w:r>
        <w:rPr>
          <w:rFonts w:ascii="Lato" w:hAnsi="Lato"/>
          <w:b/>
          <w:bCs/>
          <w:color w:val="153D63" w:themeColor="text2" w:themeTint="e6"/>
        </w:rPr>
        <w:t xml:space="preserve">Jeśli wiesz, że Twoje dziecko może doświadczać przemocy rówieśniczej - reaguj. </w:t>
      </w:r>
    </w:p>
    <w:p>
      <w:pPr>
        <w:pStyle w:val="Normal"/>
        <w:spacing w:before="120" w:after="0"/>
        <w:jc w:val="center"/>
        <w:rPr>
          <w:rFonts w:ascii="Lato" w:hAnsi="Lato"/>
          <w:b/>
          <w:b/>
          <w:bCs/>
          <w:color w:val="153D63" w:themeColor="text2" w:themeTint="e6"/>
        </w:rPr>
      </w:pPr>
      <w:r>
        <w:rPr>
          <w:rFonts w:ascii="Lato" w:hAnsi="Lato"/>
          <w:b/>
          <w:bCs/>
          <w:color w:val="153D63" w:themeColor="text2" w:themeTint="e6"/>
        </w:rPr>
        <w:t xml:space="preserve">Poniżej znajdziesz wskazówki i informacje co zrobić, żeby pomóc swojemu dziecku. </w:t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Porozmawiaj ze swoim dzieckiem — zachowaj spokój, unikaj krytyki i oceniania, okaż wsparcie i  zrozumienie.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Podczas rozmowy poproś o opisanie sytuacji w tym zapytaj o konkretne informacje na temat zdarzenia: kto, kiedy, co się stało, jak często.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Zanotuj istotne szczegóły zdarzenia (datę, miejsce, osoby, które brały czynny i bierny udział, nazwij formę przemocy np. fizyczna, psychiczna, cyberprzemoc).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Zastosuj parafrazę w celu upewnienia się, że dobrze zrozumiałeś opisane przez dziecko okoliczności zdarzenia, np. „Czy dobrze rozumiem, że…”.</w:t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502" w:hanging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Używaj wyrażeń: „rozumiem, że jest Ci ciężko”, „dziękuję, że dzielisz się tym ze mną”</w:t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0" w:hanging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0" w:hanging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Nie bagatelizuj  problemu. Zwróć uwagę, że sytuacja, która w Twojej opinii wygląda na mało istotną, dla Twojego dziecka może stanowić największy problem.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Nie sugeruj dziecku konfrontacji ze sprawcą/sprawcami.</w:t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502" w:hanging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Unikaj wyrażeń.: „to tylko kłótnia”, „nie przejmuj się”, „to nie jest ważny problem”, „jak ja byłem/byłam młoda/młody to…”</w:t>
      </w:r>
    </w:p>
    <w:p>
      <w:pPr>
        <w:pStyle w:val="Normal"/>
        <w:spacing w:before="120" w:after="0"/>
        <w:jc w:val="center"/>
        <w:rPr>
          <w:rFonts w:ascii="Lato" w:hAnsi="Lato"/>
          <w:b/>
          <w:b/>
          <w:bCs/>
          <w:color w:val="153D63" w:themeColor="text2" w:themeTint="e6"/>
          <w:sz w:val="22"/>
          <w:szCs w:val="22"/>
        </w:rPr>
      </w:pPr>
      <w:r>
        <w:rPr>
          <w:rFonts w:ascii="Lato" w:hAnsi="Lato"/>
          <w:b/>
          <w:bCs/>
          <w:color w:val="153D63" w:themeColor="text2" w:themeTint="e6"/>
          <w:sz w:val="22"/>
          <w:szCs w:val="22"/>
        </w:rPr>
      </w:r>
    </w:p>
    <w:p>
      <w:pPr>
        <w:pStyle w:val="Normal"/>
        <w:spacing w:before="120" w:after="0"/>
        <w:jc w:val="center"/>
        <w:rPr>
          <w:rFonts w:ascii="Lato" w:hAnsi="Lato"/>
          <w:b/>
          <w:b/>
          <w:bCs/>
          <w:color w:val="153D63" w:themeColor="text2" w:themeTint="e6"/>
          <w:sz w:val="22"/>
          <w:szCs w:val="22"/>
        </w:rPr>
      </w:pPr>
      <w:r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masz za sobą, następnym krokiem, który musisz podjąć to skontaktowanie się ze szkołą i przedstawienie sytuacji: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wychowawcy klasy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pedagogowi/psychologowi szkolnemu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 xml:space="preserve">dyrektorowi szkoły (jeśli sytuacja jest poważna lub występuje brak reakcji ze strony kadry pedagogicznej) </w:t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0" w:hanging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0" w:hanging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Co należy zrobić – krok po kroku: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Umów się na spotkanie z ww. osobami (telefonicznie lub mailowo).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Przedstaw informacje na temat incydentów - koncentrując się na faktach, unikając silnych emocji, starając się zachować spokojny ton wypowiedzi.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 xml:space="preserve">Poproś o podjęcie działań – szkoła ma obowiązek zareagować.  Zgodnie z ustawą z 14 grudnia 2016 r. – Prawo oświatowe dyrektor szkoły odpowiada za zapewnienie bezpiecznych i higienicznych warunków nauki, wychowania i opieki. </w:t>
      </w:r>
    </w:p>
    <w:p>
      <w:pPr>
        <w:pStyle w:val="ListParagraph"/>
        <w:tabs>
          <w:tab w:val="clear" w:pos="708"/>
          <w:tab w:val="left" w:pos="2360" w:leader="none"/>
          <w:tab w:val="center" w:pos="4536" w:leader="none"/>
        </w:tabs>
        <w:spacing w:before="120" w:after="0"/>
        <w:ind w:left="0" w:hanging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Możesz też zwrócić się o: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Informację, na temat podjętych przez szkołę działań w celu rozwiązania problemu przemocy rówieśniczej.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Zapewnienie dodatkowych środków bezpieczeństwa uczniowi/uczennicy i bieżące monitorowanie sytuacji w szkole.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360" w:leader="none"/>
          <w:tab w:val="center" w:pos="4536" w:leader="none"/>
        </w:tabs>
        <w:spacing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razie konieczności ustalenie planu pomocy psychologiczno-pedagogicznej.</w:t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Monitoruj sytuację!  </w:t>
        <w:br/>
      </w:r>
      <w:r>
        <w:rPr>
          <w:rFonts w:ascii="Lato" w:hAnsi="Lato"/>
          <w:color w:val="153D63" w:themeColor="text2" w:themeTint="e6"/>
          <w:sz w:val="20"/>
          <w:szCs w:val="20"/>
        </w:rPr>
        <w:t>Pozostań w stałym kontakcie ze szkołą – pozyskaj informacje o efektach podjętych działań.</w:t>
        <w:br/>
        <w:t>Dyskretnie obserwuj dziecko — jego zachowanie, samopoczucie, rozmawiaj o relacjach w klasie.</w:t>
        <w:br/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dodatkowe wsparcie dla dziecka?</w:t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Cs/>
          <w:color w:val="153D63" w:themeColor="text2" w:themeTint="e6"/>
          <w:sz w:val="20"/>
          <w:szCs w:val="20"/>
        </w:rPr>
        <w:t>W razie konieczności możesz skorzystać z pomocy systemu opieki zdrowotnej: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color w:val="153D63" w:themeColor="text2" w:themeTint="e6"/>
          <w:sz w:val="20"/>
          <w:szCs w:val="20"/>
        </w:rPr>
        <w:t>Zespołów i Ośrodków Środowiskowej Pomocy Psychologicznej i  Psychoterapeutycznej dla Dzieci i Młodzieży</w:t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>
      <w:pPr>
        <w:pStyle w:val="Normal"/>
        <w:numPr>
          <w:ilvl w:val="0"/>
          <w:numId w:val="4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color w:val="153D63" w:themeColor="text2" w:themeTint="e6"/>
          <w:sz w:val="20"/>
          <w:szCs w:val="20"/>
        </w:rPr>
        <w:t xml:space="preserve">Centrów Zdrowia Psychicznego - 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>
      <w:pPr>
        <w:pStyle w:val="Normal"/>
        <w:numPr>
          <w:ilvl w:val="0"/>
          <w:numId w:val="5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>
      <w:pPr>
        <w:pStyle w:val="Normal"/>
        <w:numPr>
          <w:ilvl w:val="0"/>
          <w:numId w:val="5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>
        <w:rPr>
          <w:rFonts w:ascii="Lato" w:hAnsi="Lato"/>
          <w:color w:val="153D63" w:themeColor="text2" w:themeTint="e6"/>
          <w:sz w:val="20"/>
          <w:szCs w:val="20"/>
        </w:rPr>
        <w:t> – 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>
        <w:rPr>
          <w:rFonts w:ascii="Lato" w:hAnsi="Lato"/>
          <w:color w:val="153D63" w:themeColor="text2" w:themeTint="e6"/>
          <w:sz w:val="20"/>
          <w:szCs w:val="20"/>
        </w:rPr>
        <w:t>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 xml:space="preserve">Bezpośredni link do mapy: </w:t>
      </w:r>
      <w:hyperlink r:id="rId2">
        <w:r>
          <w:rPr>
            <w:rStyle w:val="Czeinternetow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>
        <w:rPr>
          <w:rFonts w:ascii="Lato" w:hAnsi="Lato"/>
          <w:color w:val="153D63" w:themeColor="text2" w:themeTint="e6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color w:val="153D63" w:themeColor="text2" w:themeTint="e6"/>
          <w:sz w:val="20"/>
          <w:szCs w:val="20"/>
        </w:rPr>
        <w:t>Ośrodków Wysokospecjalistycznej Całodobowej Opieki Psychiatrycznej -  I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>
        <w:rPr>
          <w:rFonts w:ascii="Lato" w:hAnsi="Lato"/>
          <w:color w:val="153D63" w:themeColor="text2" w:themeTint="e6"/>
          <w:sz w:val="20"/>
          <w:szCs w:val="20"/>
        </w:rPr>
        <w:t>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3">
        <w:r>
          <w:rPr>
            <w:rStyle w:val="Czeinternetow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>
      <w:pPr>
        <w:pStyle w:val="Normal"/>
        <w:spacing w:lineRule="auto" w:line="240" w:before="120" w:after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Normal"/>
        <w:spacing w:lineRule="auto" w:line="240" w:before="120" w:after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>
        <w:rPr>
          <w:rStyle w:val="Zakotwiczenieprzypisudolnego"/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2"/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>
      <w:pPr>
        <w:pStyle w:val="Normal"/>
        <w:spacing w:lineRule="auto" w:line="240" w:before="120" w:after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Ponadto możesz skorzystać z poniższych telefonów zaufania: </w:t>
      </w:r>
    </w:p>
    <w:tbl>
      <w:tblPr>
        <w:tblStyle w:val="Tabela-Siatka"/>
        <w:tblW w:w="79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8"/>
        <w:gridCol w:w="1984"/>
      </w:tblGrid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Dziecięcy Telefon Zaufania Rzecznika Praw Dziecka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800 12 12 12</w:t>
            </w:r>
          </w:p>
        </w:tc>
      </w:tr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Telefon Zaufania Dzieci i Młodzieży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116 111</w:t>
            </w:r>
          </w:p>
        </w:tc>
      </w:tr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Telefon Fundacji Dajemy Dzieciom Siłę lub Linii Pomocy Pokrzywdzonym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800 100 100</w:t>
            </w:r>
          </w:p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lub</w:t>
            </w:r>
          </w:p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222 309 900</w:t>
            </w:r>
          </w:p>
        </w:tc>
      </w:tr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800 70 2222</w:t>
            </w:r>
          </w:p>
        </w:tc>
      </w:tr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Telefon wsparcia emocjonalnego dla dorosłych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116 123</w:t>
            </w:r>
          </w:p>
        </w:tc>
      </w:tr>
      <w:tr>
        <w:trPr/>
        <w:tc>
          <w:tcPr>
            <w:tcW w:w="5948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Numer alarmowy w sytuacjach zagrożenia zdrowia i życia 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120" w:after="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fill="FFFFFF" w:val="clear"/>
              </w:rPr>
            </w:pPr>
            <w:r>
              <w:rPr>
                <w:rFonts w:eastAsia="Aptos" w:cs="Open Sans" w:ascii="Lato" w:hAnsi="Lato"/>
                <w:color w:val="153D63" w:themeColor="text2" w:themeTint="e6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>112</w:t>
            </w:r>
          </w:p>
        </w:tc>
      </w:tr>
    </w:tbl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Normal"/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>
        <w:rPr>
          <w:rFonts w:ascii="Lato" w:hAnsi="Lato"/>
          <w:color w:val="153D63" w:themeColor="text2" w:themeTint="e6"/>
          <w:sz w:val="20"/>
          <w:szCs w:val="20"/>
        </w:rPr>
        <w:br/>
        <w:t>Gdzie należy się zgłosić:</w:t>
      </w:r>
    </w:p>
    <w:p>
      <w:pPr>
        <w:pStyle w:val="ListParagraph"/>
        <w:numPr>
          <w:ilvl w:val="0"/>
          <w:numId w:val="3"/>
        </w:numPr>
        <w:spacing w:before="120" w:after="0"/>
        <w:ind w:left="360" w:hanging="360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Kuratorium oświaty</w:t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 - w przypadku, gdy szkoła nie podejmuje skutecznych kroków, nawet na Twoją interwencję, aby zapobiec przemocy, należy skierować pismo do właściwego miejscowo kuratora oświaty, ze skargą lub wnioskiem o zbadanie sprawy i podjęcie stosownych działań w ramach sprawowanego nadzoru pedagogicznego,</w:t>
      </w:r>
    </w:p>
    <w:p>
      <w:pPr>
        <w:pStyle w:val="ListParagraph"/>
        <w:numPr>
          <w:ilvl w:val="0"/>
          <w:numId w:val="3"/>
        </w:numPr>
        <w:spacing w:before="120" w:after="0"/>
        <w:ind w:left="360" w:hanging="360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>
        <w:rPr>
          <w:rFonts w:ascii="Lato" w:hAnsi="Lato"/>
          <w:color w:val="153D63" w:themeColor="text2" w:themeTint="e6"/>
          <w:sz w:val="20"/>
          <w:szCs w:val="20"/>
        </w:rPr>
        <w:t xml:space="preserve"> - podejmuje działania w związku z naruszeniem praw dziecka lub dobra dziecka. Zajmuje się przypadkami indywidualnymi, jeżeli wcześniej nie zostały rozwiązane we właściwy sposób, mimo że wykorzystano dostępne możliwości prawne. Dzieci i młodzież mogą również skorzystać z czatu na stronie Rzecznika Praw Dziecka: Link: </w:t>
      </w:r>
      <w:hyperlink r:id="rId4">
        <w:r>
          <w:rPr>
            <w:rStyle w:val="Czeinternetow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>
        <w:rPr>
          <w:rFonts w:ascii="Lato" w:hAnsi="Lato"/>
          <w:color w:val="153D63" w:themeColor="text2" w:themeTint="e6"/>
          <w:sz w:val="20"/>
          <w:szCs w:val="20"/>
        </w:rPr>
        <w:t> </w:t>
      </w:r>
    </w:p>
    <w:p>
      <w:pPr>
        <w:pStyle w:val="ListParagraph"/>
        <w:numPr>
          <w:ilvl w:val="0"/>
          <w:numId w:val="3"/>
        </w:numPr>
        <w:spacing w:before="120" w:after="0"/>
        <w:ind w:left="360" w:hanging="360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pomocy społecznej, Policja/prokuratura/sąd rodzinny </w:t>
      </w:r>
      <w:r>
        <w:rPr>
          <w:rFonts w:ascii="Lato" w:hAnsi="Lato"/>
          <w:color w:val="153D63" w:themeColor="text2" w:themeTint="e6"/>
          <w:sz w:val="20"/>
          <w:szCs w:val="20"/>
        </w:rPr>
        <w:t>– jeśli przemoc ma charakter przestępstwa (np. pobicie, groźby, znęcanie się fizyczne i/lub psychiczne, upowszechnianie informacji na temat dziecka w Internecie bez jego zgody).</w:t>
      </w:r>
    </w:p>
    <w:p>
      <w:pPr>
        <w:pStyle w:val="Normal"/>
        <w:spacing w:before="120" w:after="0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</w:r>
    </w:p>
    <w:p>
      <w:pPr>
        <w:pStyle w:val="Normal"/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>
        <w:rPr>
          <w:rFonts w:cs="Aptos" w:ascii="Lato" w:hAnsi="Lato"/>
          <w:b/>
          <w:bCs/>
          <w:color w:val="153D63" w:themeColor="text2" w:themeTint="e6"/>
          <w:sz w:val="20"/>
          <w:szCs w:val="20"/>
        </w:rPr>
        <w:t>Ó</w:t>
      </w: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>
        <w:rPr>
          <w:rFonts w:ascii="Lato" w:hAnsi="Lato"/>
          <w:color w:val="153D63" w:themeColor="text2" w:themeTint="e6"/>
          <w:sz w:val="20"/>
          <w:szCs w:val="20"/>
        </w:rPr>
        <w:br/>
        <w:t>Zapamiętaj, aby działać w interesie zdrowia fizycznego i psychicznego w tym bezpieczeństwa dziecka.</w:t>
        <w:br/>
        <w:t xml:space="preserve">Wspieraj dziecko w budowaniu asertywności, aby rozwijać jego umiejętności społeczne. </w:t>
      </w:r>
    </w:p>
    <w:p>
      <w:pPr>
        <w:pStyle w:val="Normal"/>
        <w:spacing w:before="120" w:after="0"/>
        <w:jc w:val="both"/>
        <w:rPr>
          <w:rFonts w:ascii="Lato" w:hAnsi="Lato"/>
          <w:b/>
          <w:b/>
          <w:bCs/>
          <w:color w:val="153D63" w:themeColor="text2" w:themeTint="e6"/>
          <w:sz w:val="20"/>
          <w:szCs w:val="20"/>
        </w:rPr>
      </w:pPr>
      <w:r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Nie obciążaj dziecka odpowiedzialnością za to, że jest ofiarą sprawcy, osobą doznającą przemocy. </w:t>
      </w:r>
    </w:p>
    <w:sectPr>
      <w:footnotePr>
        <w:numFmt w:val="decimal"/>
      </w:footnotePr>
      <w:type w:val="nextPage"/>
      <w:pgSz w:w="11906" w:h="16838"/>
      <w:pgMar w:left="1416" w:right="1416" w:header="0" w:top="1276" w:footer="0" w:bottom="709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  <w:br/>
        <w:t>poz. 2053).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bc7c8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c7c8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bc7c8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bc7c8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c7c8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c7c8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bc7c8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bc7c8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bc7c8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c7c8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bc7c8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bc7c8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bc7c88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bc7c88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bc7c88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bc7c88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bc7c88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bc7c88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bc7c8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bc7c8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bc7c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7c88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bc7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styleId="AkapitzlistZnak" w:customStyle="1">
    <w:name w:val="Akapit z listą Znak"/>
    <w:basedOn w:val="DefaultParagraphFont"/>
    <w:link w:val="Akapitzlist"/>
    <w:uiPriority w:val="34"/>
    <w:qFormat/>
    <w:locked/>
    <w:rsid w:val="004d4fa2"/>
    <w:rPr/>
  </w:style>
  <w:style w:type="character" w:styleId="Czeinternetowe">
    <w:name w:val="Łącze internetowe"/>
    <w:basedOn w:val="DefaultParagraphFont"/>
    <w:uiPriority w:val="99"/>
    <w:unhideWhenUsed/>
    <w:rsid w:val="003d4f9f"/>
    <w:rPr>
      <w:color w:val="467886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d4f9f"/>
    <w:rPr>
      <w:kern w:val="0"/>
      <w:sz w:val="20"/>
      <w:szCs w:val="20"/>
      <w14:ligatures w14:val="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3d4f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31744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f31744"/>
    <w:rPr>
      <w:color w:val="96607D" w:themeColor="followedHyperlink"/>
      <w:u w:val="single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974a97"/>
    <w:rPr>
      <w:rFonts w:eastAsia="" w:eastAsiaTheme="minorEastAsia"/>
      <w:kern w:val="0"/>
      <w:sz w:val="22"/>
      <w:szCs w:val="22"/>
      <w:lang w:eastAsia="pl-PL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c56a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4c56a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c56a6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86b7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86b71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bc7c8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bc7c8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c7c8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AkapitzlistZnak"/>
    <w:uiPriority w:val="34"/>
    <w:qFormat/>
    <w:rsid w:val="00bc7c8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c7c8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qFormat/>
    <w:rsid w:val="003d4f9f"/>
    <w:pPr>
      <w:spacing w:lineRule="auto" w:line="240" w:before="0" w:after="0"/>
    </w:pPr>
    <w:rPr>
      <w:kern w:val="0"/>
      <w:sz w:val="20"/>
      <w:szCs w:val="20"/>
      <w14:ligatures w14:val="none"/>
    </w:rPr>
  </w:style>
  <w:style w:type="paragraph" w:styleId="TOCHeading">
    <w:name w:val="TOC Heading"/>
    <w:basedOn w:val="Nagwek1"/>
    <w:next w:val="Normal"/>
    <w:uiPriority w:val="39"/>
    <w:unhideWhenUsed/>
    <w:qFormat/>
    <w:rsid w:val="00974a97"/>
    <w:pPr>
      <w:spacing w:lineRule="auto" w:line="259" w:before="240" w:after="0"/>
    </w:pPr>
    <w:rPr>
      <w:kern w:val="0"/>
      <w:sz w:val="32"/>
      <w:szCs w:val="32"/>
      <w:lang w:eastAsia="pl-PL"/>
      <w14:ligatures w14:val="none"/>
    </w:rPr>
  </w:style>
  <w:style w:type="paragraph" w:styleId="NoSpacing">
    <w:name w:val="No Spacing"/>
    <w:link w:val="BezodstpwZnak"/>
    <w:uiPriority w:val="1"/>
    <w:qFormat/>
    <w:rsid w:val="00974a97"/>
    <w:pPr>
      <w:widowControl/>
      <w:bidi w:val="0"/>
      <w:spacing w:lineRule="auto" w:line="240" w:before="0" w:after="0"/>
      <w:jc w:val="left"/>
    </w:pPr>
    <w:rPr>
      <w:rFonts w:eastAsia="" w:eastAsiaTheme="minorEastAsia" w:ascii="Aptos" w:hAnsi="Aptos" w:cs=""/>
      <w:color w:val="auto"/>
      <w:kern w:val="0"/>
      <w:sz w:val="22"/>
      <w:szCs w:val="22"/>
      <w:lang w:eastAsia="pl-PL" w:val="pl-PL" w:bidi="ar-SA"/>
      <w14:ligatures w14:val="none"/>
    </w:rPr>
  </w:style>
  <w:style w:type="paragraph" w:styleId="Revision">
    <w:name w:val="Revision"/>
    <w:uiPriority w:val="99"/>
    <w:semiHidden/>
    <w:qFormat/>
    <w:rsid w:val="00e52fb8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c56a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c56a6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86b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86b7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zp.org.pl/mapa/" TargetMode="External"/><Relationship Id="rId3" Type="http://schemas.openxmlformats.org/officeDocument/2006/relationships/hyperlink" Target="https://www.nfz.gov.pl/dla-pacjenta/informacje-o-swiadczeniach/ochrony-zdrowia-psychicznego-dzieci-i-mlodziezy/" TargetMode="External"/><Relationship Id="rId4" Type="http://schemas.openxmlformats.org/officeDocument/2006/relationships/hyperlink" Target="https://czat.brpd.gov.pl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LibreOffice/7.0.3.1$Windows_X86_64 LibreOffice_project/d7547858d014d4cf69878db179d326fc3483e082</Application>
  <Pages>4</Pages>
  <Words>1021</Words>
  <Characters>6734</Characters>
  <CharactersWithSpaces>7679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Postek Monika</dc:creator>
  <dc:description/>
  <dc:language>pl-PL</dc:language>
  <cp:lastModifiedBy>Kosiec Beata</cp:lastModifiedBy>
  <dcterms:modified xsi:type="dcterms:W3CDTF">2025-09-12T06:11:00Z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